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Анализ районного информационно-методического центра, </w:t>
      </w:r>
    </w:p>
    <w:p>
      <w:pPr>
        <w:pStyle w:val="Normal"/>
        <w:spacing w:lineRule="auto" w:line="276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2018-2019 учебный год методист С.В. Христенко</w:t>
      </w:r>
    </w:p>
    <w:p>
      <w:pPr>
        <w:pStyle w:val="ListParagraph"/>
        <w:ind w:left="0" w:right="0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8"/>
          <w:szCs w:val="28"/>
        </w:rPr>
        <w:t>1. Кадровый состав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1. Образование  педагогов по предметам в районе:</w:t>
      </w:r>
    </w:p>
    <w:tbl>
      <w:tblPr>
        <w:tblW w:w="10189" w:type="dxa"/>
        <w:jc w:val="left"/>
        <w:tblInd w:w="-50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848"/>
        <w:gridCol w:w="1298"/>
        <w:gridCol w:w="937"/>
        <w:gridCol w:w="1290"/>
        <w:gridCol w:w="1"/>
        <w:gridCol w:w="1297"/>
        <w:gridCol w:w="999"/>
        <w:gridCol w:w="1518"/>
      </w:tblGrid>
      <w:tr>
        <w:trPr/>
        <w:tc>
          <w:tcPr>
            <w:tcW w:w="284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Предмет/</w:t>
              <w:br/>
              <w:t>категория работников</w:t>
            </w:r>
          </w:p>
        </w:tc>
        <w:tc>
          <w:tcPr>
            <w:tcW w:w="352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 уч.г.</w:t>
            </w:r>
          </w:p>
        </w:tc>
        <w:tc>
          <w:tcPr>
            <w:tcW w:w="38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2018-2019 уч.г.</w:t>
            </w:r>
          </w:p>
        </w:tc>
      </w:tr>
      <w:tr>
        <w:trPr>
          <w:trHeight w:val="135" w:hRule="atLeast"/>
        </w:trPr>
        <w:tc>
          <w:tcPr>
            <w:tcW w:w="28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педагогов работников</w:t>
            </w:r>
          </w:p>
        </w:tc>
        <w:tc>
          <w:tcPr>
            <w:tcW w:w="222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уровень образования педагогов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педагогов работников</w:t>
            </w:r>
          </w:p>
        </w:tc>
        <w:tc>
          <w:tcPr>
            <w:tcW w:w="2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уровень образования педагогов</w:t>
            </w:r>
          </w:p>
        </w:tc>
      </w:tr>
      <w:tr>
        <w:trPr>
          <w:trHeight w:val="135" w:hRule="atLeast"/>
        </w:trPr>
        <w:tc>
          <w:tcPr>
            <w:tcW w:w="284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средне-специальное</w:t>
            </w:r>
          </w:p>
        </w:tc>
        <w:tc>
          <w:tcPr>
            <w:tcW w:w="129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средне-специальное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Исполняющие обязанности заведующих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7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6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202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157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35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163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5 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6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12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7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9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9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283</w:t>
            </w:r>
          </w:p>
        </w:tc>
        <w:tc>
          <w:tcPr>
            <w:tcW w:w="9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79</w:t>
            </w:r>
          </w:p>
        </w:tc>
        <w:tc>
          <w:tcPr>
            <w:tcW w:w="15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203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Изменилось количество заведующих: назначены приказом УО заведующие ДОУ № 16, 20, 24.  Количество педагогов уменьшилось, так как закрылись группы  в ДОУ №   15 18, в ДОУ № 5, 11 закрылись группы комбинированной направленности, в ДОУ № 5 сократилась ставка педагога дополнительного образования.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2. Стаж работы педагогов по предметам в районе.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:</w:t>
      </w:r>
    </w:p>
    <w:tbl>
      <w:tblPr>
        <w:tblW w:w="11351" w:type="dxa"/>
        <w:jc w:val="left"/>
        <w:tblInd w:w="-124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204"/>
        <w:gridCol w:w="794"/>
        <w:gridCol w:w="625"/>
        <w:gridCol w:w="522"/>
        <w:gridCol w:w="556"/>
        <w:gridCol w:w="573"/>
        <w:gridCol w:w="557"/>
        <w:gridCol w:w="689"/>
        <w:gridCol w:w="2"/>
        <w:gridCol w:w="675"/>
        <w:gridCol w:w="573"/>
        <w:gridCol w:w="625"/>
        <w:gridCol w:w="624"/>
        <w:gridCol w:w="573"/>
        <w:gridCol w:w="623"/>
        <w:gridCol w:w="1136"/>
      </w:tblGrid>
      <w:tr>
        <w:trPr/>
        <w:tc>
          <w:tcPr>
            <w:tcW w:w="65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 уч.г.</w:t>
            </w:r>
          </w:p>
        </w:tc>
        <w:tc>
          <w:tcPr>
            <w:tcW w:w="4831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2018-2019 уч.г.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291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Предмет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 педагогов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5 лет 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До10 лет 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20 лет  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До30 лет 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До40 лет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Свыше 40 лет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 педагогов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5 лет 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10 лет 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20 лет  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30 лет 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 40 лет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Свыше 40 лет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7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Исполняющие обязанности заведу.щего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52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38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lang w:val="en-US"/>
              </w:rPr>
              <w:t>288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69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283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</w:t>
            </w:r>
            <w:r>
              <w:rPr>
                <w:b/>
                <w:bCs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highlight w:val="yellow"/>
        </w:rPr>
      </w:r>
    </w:p>
    <w:tbl>
      <w:tblPr>
        <w:tblW w:w="10305" w:type="dxa"/>
        <w:jc w:val="left"/>
        <w:tblInd w:w="-66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1290"/>
        <w:gridCol w:w="2340"/>
        <w:gridCol w:w="6675"/>
      </w:tblGrid>
      <w:tr>
        <w:trPr/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ОО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Программа обучения</w:t>
            </w:r>
          </w:p>
        </w:tc>
      </w:tr>
      <w:tr>
        <w:trPr>
          <w:trHeight w:val="1364" w:hRule="atLeast"/>
        </w:trPr>
        <w:tc>
          <w:tcPr>
            <w:tcW w:w="12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 № 1, 2, 3, 5, 6, 7, 8, 9, 10, 11, 12, 13, 14, 15, 16, 17, 18, 19, 20, 21, 22, 23, 24, 25, 26, 27,ООШ 21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«От рождения до школы» под редакцией Н.Е. Вераксы, Т.С. Комаровой, М.А. Васильевой</w:t>
            </w:r>
          </w:p>
        </w:tc>
      </w:tr>
      <w:tr>
        <w:trPr>
          <w:trHeight w:val="364" w:hRule="atLeast"/>
        </w:trPr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ДОУ № 4 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Образовательная программа дошкольного образования «Мозаика»</w:t>
            </w:r>
          </w:p>
        </w:tc>
      </w:tr>
      <w:tr>
        <w:trPr>
          <w:trHeight w:val="418" w:hRule="atLeast"/>
        </w:trPr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ДОУ №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3, 4, 5, 10, 12, 15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Комплексная образовательная программа для детей раннего возраста «Первые шаги» авторы Е.О. Смирнова, Л.Н. Галигузова, С.Ю. Мещерякова</w:t>
            </w:r>
          </w:p>
        </w:tc>
      </w:tr>
      <w:tr>
        <w:trPr>
          <w:trHeight w:val="418" w:hRule="atLeast"/>
        </w:trPr>
        <w:tc>
          <w:tcPr>
            <w:tcW w:w="1290" w:type="dxa"/>
            <w:vMerge w:val="continue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  <w:tc>
          <w:tcPr>
            <w:tcW w:w="667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widowControl/>
              <w:suppressAutoHyphens w:val="true"/>
              <w:overflowPunct w:val="false"/>
              <w:bidi w:val="0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Образовательная программа дошкольного образования «Детский сад 2100».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ДОУ№ 2, 4, 6,7, 8, 10, 11, 12, 13, 14, 16, 18, 19, 20, 21,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Программа «Основы безопасности детей дошкольного возраста», Р.Б. Стеркина, Н.Н. Авдеева, О.Л. Князева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№  2, 4,  9,  15, 18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«Программа обучения и воспитания детей с ФФН» Т.Б.Филичева, Г.В.Чиркина; 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«Дети с фонетико-фонематическим недоразвитием» Т.Б.Филичева, Т.В.Туманова.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№ 1, 7,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Н. В. Нищева «Коррекционно-развивающая работа в логопедической группе детского сада для детей с ОНР.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2, 10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Парциальная программа «Юный эколог», С.Н. Николаева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5,12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«Зеленый огонек здоровья» М.Ю. Картушиной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Парциальная программа: Картушина М. Ю. «Здоровый малыш»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«Приобщение детей к истокам русской народной культуры»  О.Л. Князева, М.Д. Маханева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5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«Духовно-нравственное воспитание старших дошкольников»  Т.Г. Феоктистовой, Н. П. Шитяковой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2, 11,12, 18, 20,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Программа художественного - эстетического воспитания, обучения и развития детей 3-7 лет «Цветные ладошки», И.А. Лыкова 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4,7,11,18,26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«Ритмическая мозаика» А.И.Буренина. СПб, 2000.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«Камертон» Э.П.Костина.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11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О.В.Кацер «Музыка.Дети.Здороье»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«Программа и примерные конспекты занятий для детей дошкольного возраста» автор Гончарова Л. Н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Авторская программа И.Н. Лыковой «Английский для малышей»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Авторская программа В.Ф. Денисенко «Мир Оригами»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18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О.П. Радынова «Музыкальные шедевры»</w:t>
            </w:r>
          </w:p>
        </w:tc>
      </w:tr>
    </w:tbl>
    <w:p>
      <w:pPr>
        <w:pStyle w:val="ListParagraph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widowControl/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Программно-методическое оснащение осталось таким как и в прошлом году.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ListParagraph"/>
        <w:widowControl/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 2018-2019 учебном году: МКДОУ д/с № 27 присвоен статус апробационной краевой площадки по программно-методическому комплексу  «Вдохновение» и МКДОУ д/с № 26 —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апробационной площадки ООП ДО «Детский сад 2100».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3. Мониторинг эффективности семинаров</w:t>
      </w:r>
    </w:p>
    <w:p>
      <w:pPr>
        <w:pStyle w:val="ListParagraph"/>
        <w:spacing w:lineRule="auto" w:line="240" w:before="0" w:after="0"/>
        <w:ind w:left="0" w:right="0" w:hanging="0"/>
        <w:contextualSpacing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tbl>
      <w:tblPr>
        <w:tblW w:w="15930" w:type="dxa"/>
        <w:jc w:val="left"/>
        <w:tblInd w:w="-27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040"/>
        <w:gridCol w:w="795"/>
        <w:gridCol w:w="900"/>
        <w:gridCol w:w="1650"/>
        <w:gridCol w:w="1020"/>
        <w:gridCol w:w="2264"/>
        <w:gridCol w:w="1"/>
        <w:gridCol w:w="1201"/>
        <w:gridCol w:w="961"/>
        <w:gridCol w:w="1636"/>
        <w:gridCol w:w="912"/>
        <w:gridCol w:w="2548"/>
      </w:tblGrid>
      <w:tr>
        <w:trPr/>
        <w:tc>
          <w:tcPr>
            <w:tcW w:w="86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725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2018-2019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Название РМО/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категория участников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Кол-во семинаров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выступающих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1 (2чел.)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слушателей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(например, №1(2)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Кол-во семинаров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выступающих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1 (2чел.)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слушателей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(например, №1(2)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Старших воспитателей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 (1чел.)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4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(2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6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7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12(2чел)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26(3чел.)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1 (1);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 (1);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8 (2);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 (1);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(2);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 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 (4);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 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 (2);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 21 (1)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4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15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6 (1); № 8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 (2); № 12(1)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 (3); № 15(1)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(3); № 17(4)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 (1); № 19(2)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 (3); № 21(2)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 (1); № 23(1)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 (2); № 27(1)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 21 (1)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Музыкальных руководителей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 чел)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13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 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22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24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>25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 чел)№ 18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(1 чел)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(1); № 5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8 (3); № 11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(2); № 13(3)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16 (1); № 17(3)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(1); № 20(4)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(4); № 23(4)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24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(4)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Инструкторов по физической культуре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 чел)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24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(2чел)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 (2 чел)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(1чел.)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(1); № 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8 (3); № 9 (2);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13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14 (4); № 16(4)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17 (4); № 19(4)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20 (4); № 21(4)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(4); № 23(4)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24 (4); № 25(4)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27 (4);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(4)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Воспитателей групп дошкольного возраста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(5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(7чел.)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13 (2);№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15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(4)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(2);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(5чел)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(4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8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10 (1чел)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(5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25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(6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27 (2 чел)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(1); № 2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(1); № 6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8 (2); № 9 (1)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(2); № 13(4)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14 (2); № 16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17 (1); № 18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(1); № 20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21 (2); № 22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24 (2);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(3)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Воспитателей групп раннего возраста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(5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(4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(4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(4чел.)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 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12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17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(1);;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22 (1)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(7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(4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10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(1)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(1); № 8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(1); № 13(2)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(1); № 17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(1); № 20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23 (2); № 27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(15чел.)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(7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(6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(2чел.)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15(10чел)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(2чел.)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 </w:t>
            </w:r>
            <w:r>
              <w:rPr>
                <w:rFonts w:ascii="Times New Roman" w:hAnsi="Times New Roman"/>
                <w:sz w:val="24"/>
                <w:szCs w:val="24"/>
              </w:rPr>
              <w:t>(13чел.)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27 (1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438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(10)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(8);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11(3);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(23)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13 (11);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>14(1)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(8)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 (9);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(3)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20(12)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(9);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(6)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24(17)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(7);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(17)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449</w:t>
            </w:r>
          </w:p>
        </w:tc>
        <w:tc>
          <w:tcPr>
            <w:tcW w:w="25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CFFFF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(1),  № 2 (3)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3 (2),  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(1)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(3),  № 8 (12)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 (4),  № 11 (3)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(5), № 13 (16)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14 (6), № 15 (2),  № 16(12),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№ 17 (13)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(3), № 19 (8)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20 (14), № 21 (8)</w:t>
            </w:r>
          </w:p>
          <w:p>
            <w:pPr>
              <w:pStyle w:val="Style16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(1</w:t>
            </w:r>
            <w:r>
              <w:rPr>
                <w:rFonts w:ascii="Times New Roman" w:hAnsi="Times New Roman"/>
                <w:sz w:val="26"/>
                <w:szCs w:val="26"/>
              </w:rPr>
              <w:t>0), № 23 (7)</w:t>
            </w:r>
          </w:p>
          <w:p>
            <w:pPr>
              <w:pStyle w:val="Style16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(14), № 25 (4)</w:t>
            </w:r>
          </w:p>
          <w:p>
            <w:pPr>
              <w:pStyle w:val="Style16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27(6), ООШ 21 (12)</w:t>
            </w:r>
          </w:p>
        </w:tc>
      </w:tr>
    </w:tbl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В 2018-2019 учебном году количество выступающих увеличилось на 28 чел., количество слушателей также  увеличилось на 2.4% (11 чел.). </w:t>
      </w:r>
    </w:p>
    <w:p>
      <w:pPr>
        <w:sectPr>
          <w:type w:val="nextPage"/>
          <w:pgSz w:orient="landscape" w:w="16838" w:h="11906"/>
          <w:pgMar w:left="851" w:right="1134" w:header="0" w:top="851" w:footer="0" w:bottom="851" w:gutter="0"/>
          <w:pgNumType w:fmt="decimal"/>
          <w:formProt w:val="false"/>
          <w:textDirection w:val="lrTb"/>
          <w:docGrid w:type="default" w:linePitch="360" w:charSpace="4294965247"/>
        </w:sect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Хорошая посещаемость РМО старших воспитателей, музыкальных руководителей, инструкторов по физической культуре, воспитателей групп дошкольного возраста и воспитателей групп раннего возраста. По результатам анализа методических объединений из 27 дошкольных учреждений низкая  посещаемость РМО в ДОУ № 8, 13,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16,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17, 20,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21,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24, ООШ 21. На совещании руководителей ДОО 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будет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озвучен вопрос посещаемости РМО данных учреждений.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4. Мониторинг посещения занятий ДОО</w:t>
      </w:r>
    </w:p>
    <w:tbl>
      <w:tblPr>
        <w:tblW w:w="10512" w:type="dxa"/>
        <w:jc w:val="left"/>
        <w:tblInd w:w="-60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160"/>
        <w:gridCol w:w="2400"/>
        <w:gridCol w:w="1245"/>
        <w:gridCol w:w="4707"/>
      </w:tblGrid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Предмет/категория 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Количество посещённых занятий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Комментарий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(ДОУ, фамилии педагогов, представивших лучшие занятия; ДОУ, фамилии педагогов, которых необходимо контролировать)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ДОО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1, 2,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4,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1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(2 НОД)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, 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25,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26 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Лучшее НОД: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 (О.Ю. Резец)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а контроль: № 11 (Н.В. Тихоненко)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Речевое развитие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ДОО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11,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Лучшее НОД: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18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Н.В. Коеза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ДОО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3,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5, 11, 15, 18, 26 (2 НОД)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Лучшее НОД: №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11 (Е.А. Столбова), № 18 (Н.И. Потафеева)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на контроль №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О.Н. Нефёдова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)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Физическое развитие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ДОО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3, 15,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17,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Лучшее НОД: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15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С.М. Донец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а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контроль: 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(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Т.Н. Сулим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)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17 (О.Б. Свидунович)</w:t>
            </w:r>
          </w:p>
        </w:tc>
      </w:tr>
      <w:tr>
        <w:trPr/>
        <w:tc>
          <w:tcPr>
            <w:tcW w:w="21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B8CCE4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47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B8CCE4" w:val="clear"/>
            <w:tcMar>
              <w:left w:w="73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/>
            </w:r>
          </w:p>
        </w:tc>
      </w:tr>
    </w:tbl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Посещение образовательной деятельности проходит во время выездов в ДОО, семинаров-практикумов на базе дошкольных учреждений. В 2018-2019 учебном году количество посещений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увеличилось.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Посещено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11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дошкольных учреждений Павловского поселения Это связано с тем, что не совпадало с методическими выездами сетки образовательной деятельности ДОО в образовательных организациях других поселений. В новом учебном году следует уделить больше внимания посещению занятий ДОО в рамках выездов и РМО.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5. Мониторинг посещения детских садов </w:t>
      </w:r>
    </w:p>
    <w:tbl>
      <w:tblPr>
        <w:tblW w:w="10571" w:type="dxa"/>
        <w:jc w:val="left"/>
        <w:tblInd w:w="-87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2100"/>
        <w:gridCol w:w="1215"/>
        <w:gridCol w:w="3765"/>
        <w:gridCol w:w="3491"/>
      </w:tblGrid>
      <w:tr>
        <w:trPr/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Ф.И.О. методиста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ДОО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 xml:space="preserve">Положительное 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Отрицательное</w:t>
            </w:r>
          </w:p>
        </w:tc>
      </w:tr>
      <w:tr>
        <w:trPr/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ООШ 21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Документация (перспективные, календарные планы, работа с родителями) воспитателей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не соответствует требованиям</w:t>
            </w:r>
          </w:p>
        </w:tc>
      </w:tr>
      <w:tr>
        <w:trPr/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Документация (перспективные, календарные планы, работа с родителями) воспитателей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не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соответствует требованиям</w:t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Планирование календарных планов воспитательно образовательной работы не  соответствуют требованиям  разновозрастных групп </w:t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по музыкальному развитию хорошее.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Занятие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по физической культуре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хорошее. Соответствует ФГОС ДО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Занятие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по музыкальному развитию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хорошее. Соответствует ФГОС ДО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хорошее. Соответствует ФГОС ДО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родителями, протоколы групповых родительских собраний)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100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ООП ДО,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перспективные, календарные планы, работа с родителями, протоколы групповых родительских собраний) воспитателей соответствует требованиям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73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tabs>
          <w:tab w:val="left" w:pos="5550" w:leader="none"/>
        </w:tabs>
        <w:spacing w:lineRule="auto" w:line="240"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Занятия соответствуют требованиям ФГОС ДО: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воспитатели ДОО №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11 Е.А. Столбова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; №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15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С.М. Донец;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№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18 Н.В. Кокоза;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 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-присутствуют элементы ФГОС ДО: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музыкальные руководители ДОО № 5 И.Н. Коваль,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№ 26 О.В Погорелова,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№ 25 Г.Н. Овдиенко и Е.А. Костенко.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традиционные занятия: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- воспитатели  ДОО №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11 И.Г. Драган, ДОО № 26 Е.А. Новикова.</w:t>
      </w:r>
    </w:p>
    <w:p>
      <w:pPr>
        <w:pStyle w:val="ListParagraph"/>
        <w:tabs>
          <w:tab w:val="left" w:pos="5550" w:leader="none"/>
        </w:tabs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В 2018-2019 учебном году следует усилить посещения  ДОО в рамках выездов и проводить больше открытых НОД в рамках РМО.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highlight w:val="yellow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Также в 2018-2019 учебном году проводились массовые мероприятия: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Муниципальный этап краевого конкурса «Воспитатель года Кубани»  в 2018 году ДОО №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1,2,5, 7, 10, 11, 15, 18,23,26,27.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октябре прошел фестиваль «Музыкальная осень» (ДОО № 1, 2, 3,4, 5, 7, 11, 12, 14, 15,18, 23, 25, 26),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январе — фестиваль «Игрушки с Рождественской елки» (ДОО № 1, 2, 3, 4,5,7,11,12,13,14,15,18,19,25,26,27),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в марте — фестиваль «Танцевальная Весна» (ДОО № 1, 2,3 ,4, 5, 7, 11, 12,14,15,18,19,25,26), 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ноябре — спортивное мероприятие в рамках Дня народного единства (ДОО № 1,5,18,26);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феврале военно-патриотическая игра «Зарница» среди дошкольных учреждений (ДОО № 1,2,4,5,8,10,11,14,15,18,26);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июне: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фестиваль детского творчества и педагогического мастерства в рамках ознакомления детей с профессиями ДОО № 1,2,3,4,5,7,11,12,15,18,25,26,27.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 муниципальный шахматный турнир для воспитанников ДОО (ДОО № 1,2,3,4,5,11,15,18,25,26,27).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муниципальный этап краевого конкурса «Лучшие педагогические работник ДОО» в 2019 году ДОО № 1, 26.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fals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6. Методическое сопровождение</w:t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групп кратковременного пребывания 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283" w:right="0" w:firstLine="57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На 1 июня 2019 года ГКП в Павловском районе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>функционирует 1 ГКП в ДОО № 6.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u w:val="single"/>
        </w:rPr>
        <w:t>Статистические данные по группам кратковременного пребывания и семейные</w:t>
      </w:r>
    </w:p>
    <w:tbl>
      <w:tblPr>
        <w:tblW w:w="9880" w:type="dxa"/>
        <w:jc w:val="left"/>
        <w:tblInd w:w="-1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73" w:type="dxa"/>
          <w:bottom w:w="0" w:type="dxa"/>
          <w:right w:w="108" w:type="dxa"/>
        </w:tblCellMar>
      </w:tblPr>
      <w:tblGrid>
        <w:gridCol w:w="1869"/>
        <w:gridCol w:w="1924"/>
        <w:gridCol w:w="1925"/>
        <w:gridCol w:w="1925"/>
        <w:gridCol w:w="2237"/>
      </w:tblGrid>
      <w:tr>
        <w:trPr/>
        <w:tc>
          <w:tcPr>
            <w:tcW w:w="18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</w:t>
            </w:r>
          </w:p>
        </w:tc>
        <w:tc>
          <w:tcPr>
            <w:tcW w:w="3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8"/>
                <w:szCs w:val="28"/>
                <w:u w:val="single"/>
              </w:rPr>
              <w:t>2017-2018</w:t>
            </w:r>
          </w:p>
        </w:tc>
        <w:tc>
          <w:tcPr>
            <w:tcW w:w="41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2018-2019</w:t>
            </w:r>
          </w:p>
        </w:tc>
      </w:tr>
      <w:tr>
        <w:trPr/>
        <w:tc>
          <w:tcPr>
            <w:tcW w:w="18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contextualSpacing/>
              <w:jc w:val="left"/>
              <w:rPr/>
            </w:pPr>
            <w:r>
              <w:rPr/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групп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детей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групп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детей</w:t>
            </w:r>
          </w:p>
        </w:tc>
      </w:tr>
      <w:tr>
        <w:trPr/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 № 6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22</w:t>
            </w:r>
          </w:p>
        </w:tc>
      </w:tr>
      <w:tr>
        <w:trPr/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 группа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22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ребенка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 группа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73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22 ребенка</w:t>
            </w:r>
          </w:p>
        </w:tc>
      </w:tr>
    </w:tbl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cs="Times New Roman"/>
          <w:b/>
          <w:b/>
          <w:color w:val="FF0000"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color w:val="FF0000"/>
          <w:sz w:val="28"/>
          <w:szCs w:val="28"/>
          <w:highlight w:val="yellow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7.  Организация преемственности  в обучении между ДОУ и школой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На начало учебного года в дошкольных образовательных организациях составлены и утверждены планы совместной работы по преемственности со школами района, которые включают совместное проведение мероприятий с педагогами, детьми и родителями. 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Планируется проведение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с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еминар-практикум по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преемственности ДОО и начальной школы  для педагогов ДОУ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11"/>
        <w:spacing w:before="0" w:after="0"/>
        <w:ind w:left="0" w:right="0" w:hanging="0"/>
        <w:contextualSpacing/>
        <w:jc w:val="center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8. Реализация ФГОС ДОО</w:t>
      </w:r>
    </w:p>
    <w:p>
      <w:pPr>
        <w:pStyle w:val="11"/>
        <w:spacing w:before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</w:rPr>
      </w:r>
    </w:p>
    <w:p>
      <w:pPr>
        <w:pStyle w:val="11"/>
        <w:widowControl/>
        <w:suppressAutoHyphens w:val="true"/>
        <w:overflowPunct w:val="false"/>
        <w:bidi w:val="0"/>
        <w:spacing w:lineRule="auto" w:line="240" w:before="0" w:after="0"/>
        <w:ind w:left="0" w:right="0" w:firstLine="283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 настоящее время дошкольные учреждения работают по 6 авторским образовательным программам из 26 примерных образовательных программ, находящихся в навигаторе на сайте ФИРО.</w:t>
      </w:r>
    </w:p>
    <w:p>
      <w:pPr>
        <w:pStyle w:val="11"/>
        <w:widowControl/>
        <w:suppressAutoHyphens w:val="true"/>
        <w:overflowPunct w:val="false"/>
        <w:bidi w:val="0"/>
        <w:spacing w:lineRule="auto" w:line="240" w:before="0" w:after="0"/>
        <w:ind w:left="0" w:right="0" w:firstLine="283"/>
        <w:contextualSpacing/>
        <w:jc w:val="both"/>
        <w:rPr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Организовано и проведено методическое сопровождение реализации Стандарта на региональном и муниципальном уровне:</w:t>
      </w:r>
    </w:p>
    <w:p>
      <w:pPr>
        <w:pStyle w:val="11"/>
        <w:spacing w:before="0" w:after="0"/>
        <w:ind w:left="0" w:right="0" w:hanging="0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tbl>
      <w:tblPr>
        <w:tblW w:w="10291" w:type="dxa"/>
        <w:jc w:val="left"/>
        <w:tblInd w:w="-74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205"/>
        <w:gridCol w:w="6180"/>
        <w:gridCol w:w="1906"/>
      </w:tblGrid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слушателей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24.10.17г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этап мониторинга реализации  ФГОС ДО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16.02.18г.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этап мониторинга реализации  ФГОС ДО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04.06.17г.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Мониторинг оценки качества дошкольного образования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18.07.2018г.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«Обновление развивающей предметно-пространственной среды в дошкольных образовательных организациях — фактор, способствующий индивидуализации дошкольного образования»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16.08.2018г.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Краевая дискуссионная площадка «Создание современной здоровьесберегающей образовательной среды в детском саду»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19.09.2018г.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«Использование программно-методического комплекса «Мозаичный ПАРК» в ДОО»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21.09.2018г.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«Использование комплексной образовательной программы для детей раннего возраста «Первые шаги» в ДОО»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«Условия психологического комфорта младенческого и раннего возраста в дошкольных образовательных организациях края»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26.10.2018г.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Зональный семинар «Организация тьюторского сопровождения детей ОВЗ в условиях реализации ФГОС ДО»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20.11.2018г.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«Подготовка детей к школе: управленческие и технологические решения в условиях реализации ФГОС ДО»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23.11.2018г.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«Современные педагогические практики художественно-эстетической направленности для достижения целевых ориентиров дошкольного образования»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13.12.2018г.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«Использование программно-методического комплекса «Мозаичный ПАРК» в ДОО»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14.12.2018г.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ребёнка дошкольного возраста средствами ООП ДО «Детский сад 2100»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 20.12.2018г. по 21.12.2018г.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ребенка дошкольного возраста средствами ООП ДО «Вдохновение»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26.02.2019г.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ребенка дошкольного возраста средствами ООП ДО с использованием различных УМК («Вдохновение»0»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12.02.2019г.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«Преемственность в инновационной деятельности педагога ДОУ и начальной школы»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14.03.2019Г.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«Современные технологии работы с дошкольниками с ОВЗ»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09.04.2019г.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bookmarkStart w:id="0" w:name="__DdeLink__2195_437720395"/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</w:t>
            </w:r>
            <w:bookmarkEnd w:id="0"/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 «Комплексное развитие ребенка дошкольного возраста средствами ООП ДО с использованием различных УМК («Первые шаги»)»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10.04.2019г.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 ребенка дошкольного возраста средствами ООП ДО с использованием различных УМК  («Мозаичный ПАРК»)»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11.04.2019г.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«Формирование медиакомпетентности дошкольника»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Зональный семинар «Моделирование современной развивающей предметно-пространственной среды ДОО в условиях реализации ФГОС ДО»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25.04.2019г.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«Особенности развития детей от 1 года до 3 лет. Организация взаимодействия в  системе отношений «взрослый-ребенок» для педагогов ДОО Краснодарского края»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30.05.2019г.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мониторинг «Реализация ФГОС ДО» 2019г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28 и дошкольная группа при ООШ 21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29.08.2018г. 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для руководителей, старших воспитателей, педагогов ДОО «Проектная деятельность как средство индивидуализации дошкольного образования»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18.09.2018г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20.09.2018г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16.10.2018г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23.10.2018г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Семинар-практикум для педагогов «Формы и методы работы с детьми в условиях реализации ФГОС ДО»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20.11.2018г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Семинар-практикум «Современные подходы к достижению целевых ориентиров  условиях реализации ФГОС ДО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17.01.2019г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23.01.2019г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05.02.2019г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12.02.2019г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Круглый стол «Использование регионального компонента  в образовательной деятельности детей в условиях реализации ФГОС ДО» 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</w:tr>
      <w:tr>
        <w:trPr/>
        <w:tc>
          <w:tcPr>
            <w:tcW w:w="22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18.04.2019г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Мастер-класс «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Взаимодействие ДОО с семьёй ребёнка как повышения качества образования в условиях ФГОС ДО»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28</w:t>
            </w:r>
          </w:p>
        </w:tc>
      </w:tr>
    </w:tbl>
    <w:p>
      <w:pPr>
        <w:pStyle w:val="Normal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Проводилась работа по информационно-методическому сопровождению  реализации ФГОС ДО, проведены методические и обучающие семинары по вопросам реализации стандарта.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0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дошкольных образовательных организаций и дошкольная группа при ООШ 21 реализуют основную образовательную программу, включающую в себя все направления деятельности дошкольной организации, разработанную на основе программы «От рождения до школы»  под ред. Н.Е. Вераксы, Т.А. Комаровой, В.В. Гербовой. 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Дошкольные учреждения № 3,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5, 10, 12, 15 реализуют 2 основных образовательных программы дошкольного образования разработанных на основе программы «От рождения до школы»  под ред. Н.Е. Вераксы, Т.А. Комаровой, В.В. Гербовой (3-7 лет) и к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омплексной образовательной программы для детей раннего возраста «Первые шаги» авторов Е.О. Смирнова, Л.Н. Галигузова, С.Ю. Мещерякова.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ДОУ № 4 также реализует 2 ООП:  Программу «Мозаика» и комплексную образовательную программу для детей раннего возраста «Первые шаги» авторов Е.О. Смирнова, Л.Н. Галигузова, С.Ю. Мещерякова.</w:t>
      </w:r>
    </w:p>
    <w:p>
      <w:pPr>
        <w:pStyle w:val="Style20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ДОУ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№ 26 реализует 2 программы: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«От рождения до школы»  под ред. Н.Е. Вераксы, Т.А. Комаровой, В.В. Гербовой и ООП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дошкольного образования «Детский сад 2100».</w:t>
      </w:r>
    </w:p>
    <w:p>
      <w:pPr>
        <w:pStyle w:val="Style20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С 01.09 2019 года на базе ДОО № 27 будет реализовываться ООП ДО «Вдохновение».</w:t>
      </w:r>
    </w:p>
    <w:p>
      <w:pPr>
        <w:pStyle w:val="Style20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9. Методическое сопровождение консультационных центров (пунктов)</w:t>
      </w:r>
    </w:p>
    <w:p>
      <w:pPr>
        <w:pStyle w:val="ListParagraph"/>
        <w:spacing w:lineRule="auto" w:line="240" w:before="0" w:after="0"/>
        <w:ind w:left="0" w:right="0" w:hanging="0"/>
        <w:contextualSpacing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cs="Times New Roman" w:ascii="Times New Roman" w:hAnsi="Times New Roman"/>
          <w:color w:val="FF0000"/>
          <w:sz w:val="24"/>
          <w:szCs w:val="24"/>
          <w:highlight w:val="yellow"/>
        </w:rPr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 2016 года в Павловском районе на базе ДОО (№ 1, 4, 7, 9, 11, 15, 18, 26 функционирует 8 консультационных центров для родителей (законных представителей), обеспечивающих получение детьми дошкольного образования в форме семейного образования. 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/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Проведен а</w:t>
      </w:r>
      <w:r>
        <w:rPr>
          <w:rFonts w:cs="Times New Roman" w:ascii="Times New Roman" w:hAnsi="Times New Roman"/>
          <w:color w:val="000000"/>
          <w:sz w:val="28"/>
          <w:szCs w:val="28"/>
        </w:rPr>
        <w:t>нализ документации консультационных центров дошкольных учреждений (1,4,18,26,7,9,11,15) показал следующее: документация оформлена в полном объеме в соответствии с требованиями, предъявляемыми к консультационным центрам (пунктам).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С 01.09.201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9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года  количество обращений (запросов) на предоставление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 увеличилось на 3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2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%. 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Количество договоров на предоставление методической, психолого-педагогической, диагностической и консультативной помощи родителям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yellow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(законным представителям), обеспечивающим получение де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тьми дошкольного образования в форме семейного образования по сравнению с 201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8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-201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9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учебным годом увеличилось на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30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%.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Методист МКУО РИМЦ                                                                     С.В. Христенко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Calibri" w:hAnsi="Calibri" w:eastAsia="SimSun" w:cs="Mangal"/>
      <w:color w:val="00000A"/>
      <w:sz w:val="22"/>
      <w:szCs w:val="22"/>
      <w:lang w:val="ru-RU" w:eastAsia="ru-RU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Style14">
    <w:name w:val="Без интервала Знак"/>
    <w:basedOn w:val="DefaultParagraphFont"/>
    <w:qFormat/>
    <w:rPr>
      <w:rFonts w:ascii="Calibri" w:hAnsi="Calibri" w:eastAsia="Times New Roman" w:cs="Calibri"/>
      <w:lang w:eastAsia="en-US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6">
    <w:name w:val="Основной текст"/>
    <w:basedOn w:val="Normal"/>
    <w:pPr>
      <w:spacing w:lineRule="auto" w:line="288" w:before="0" w:after="140"/>
    </w:pPr>
    <w:rPr/>
  </w:style>
  <w:style w:type="paragraph" w:styleId="Style17">
    <w:name w:val="Список"/>
    <w:basedOn w:val="Style16"/>
    <w:pPr/>
    <w:rPr>
      <w:rFonts w:cs="Mangal"/>
    </w:rPr>
  </w:style>
  <w:style w:type="paragraph" w:styleId="Style18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paragraph" w:styleId="1">
    <w:name w:val="Без интервала1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paragraph" w:styleId="11">
    <w:name w:val="Абзац списка1"/>
    <w:basedOn w:val="Normal"/>
    <w:qFormat/>
    <w:pPr>
      <w:suppressAutoHyphens w:val="true"/>
      <w:spacing w:before="0" w:after="200"/>
      <w:ind w:left="720" w:right="0" w:hanging="0"/>
      <w:contextualSpacing/>
    </w:pPr>
    <w:rPr>
      <w:rFonts w:ascii="Calibri" w:hAnsi="Calibri" w:eastAsia="font185" w:cs="font185"/>
      <w:lang w:eastAsia="zh-CN"/>
    </w:rPr>
  </w:style>
  <w:style w:type="paragraph" w:styleId="Style20">
    <w:name w:val="Текст в заданном формате"/>
    <w:basedOn w:val="Normal"/>
    <w:qFormat/>
    <w:pPr>
      <w:suppressAutoHyphens w:val="true"/>
      <w:spacing w:before="0" w:after="0"/>
    </w:pPr>
    <w:rPr>
      <w:rFonts w:ascii="Liberation Mono;Courier New" w:hAnsi="Liberation Mono;Courier New" w:eastAsia="NSimSun" w:cs="Liberation Mono;Courier New"/>
      <w:sz w:val="20"/>
      <w:szCs w:val="20"/>
      <w:lang w:eastAsia="zh-CN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814</TotalTime>
  <Application>LibreOffice/5.0.3.2$Windows_x86 LibreOffice_project/e5f16313668ac592c1bfb310f4390624e3dbfb75</Application>
  <Paragraphs>828</Paragraphs>
  <Company>WareZ Provider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2017-01-06T05:49:00Z</dcterms:created>
  <dc:creator>www.PHILka.RU</dc:creator>
  <dc:language>ru-RU</dc:language>
  <cp:lastPrinted>2019-06-17T11:15:02Z</cp:lastPrinted>
  <dcterms:modified xsi:type="dcterms:W3CDTF">2019-06-17T14:06:27Z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